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6AEF07">
      <w:pPr>
        <w:jc w:val="center"/>
      </w:pPr>
      <w:bookmarkStart w:id="0" w:name="_GoBack"/>
      <w:bookmarkEnd w:id="0"/>
      <w:r>
        <w:rPr>
          <w:rFonts w:hint="default"/>
          <w:lang w:val="cs-CZ"/>
        </w:rPr>
        <w:drawing>
          <wp:inline distT="0" distB="0" distL="114300" distR="114300">
            <wp:extent cx="3507740" cy="2244725"/>
            <wp:effectExtent l="0" t="0" r="12700" b="10795"/>
            <wp:docPr id="1" name="Picture 1" descr="asps_logo_fin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sps_logo_final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507740" cy="224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60975E"/>
    <w:p w14:paraId="569BB0FC"/>
    <w:p w14:paraId="296A611E"/>
    <w:p w14:paraId="711C785D"/>
    <w:p w14:paraId="6C427806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Výroční zpráva           </w:t>
      </w:r>
    </w:p>
    <w:p w14:paraId="4D038247">
      <w:pPr>
        <w:jc w:val="center"/>
        <w:rPr>
          <w:rFonts w:hint="default"/>
          <w:b/>
          <w:sz w:val="44"/>
          <w:szCs w:val="44"/>
          <w:lang w:val="cs-CZ"/>
        </w:rPr>
      </w:pPr>
      <w:r>
        <w:rPr>
          <w:rFonts w:hint="default"/>
          <w:b/>
          <w:sz w:val="44"/>
          <w:szCs w:val="44"/>
          <w:lang w:val="cs-CZ"/>
        </w:rPr>
        <w:t>2025</w:t>
      </w:r>
    </w:p>
    <w:p w14:paraId="1AA9C0A0">
      <w:pPr>
        <w:jc w:val="center"/>
        <w:rPr>
          <w:b/>
          <w:sz w:val="44"/>
          <w:szCs w:val="44"/>
        </w:rPr>
      </w:pPr>
    </w:p>
    <w:p w14:paraId="713FFA2B">
      <w:pPr>
        <w:jc w:val="both"/>
      </w:pPr>
      <w:r>
        <w:rPr>
          <w:b/>
          <w:sz w:val="44"/>
          <w:szCs w:val="44"/>
        </w:rPr>
        <w:t xml:space="preserve">   </w:t>
      </w:r>
      <w:r>
        <w:drawing>
          <wp:inline distT="0" distB="0" distL="0" distR="0">
            <wp:extent cx="4866640" cy="3649980"/>
            <wp:effectExtent l="0" t="0" r="0" b="762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66640" cy="364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BDA9D3">
      <w:pPr>
        <w:pStyle w:val="2"/>
        <w:jc w:val="left"/>
        <w:rPr>
          <w:sz w:val="28"/>
          <w:szCs w:val="28"/>
        </w:rPr>
      </w:pPr>
    </w:p>
    <w:p w14:paraId="4571C7FB">
      <w:pPr>
        <w:rPr>
          <w:sz w:val="28"/>
          <w:szCs w:val="28"/>
        </w:rPr>
      </w:pPr>
    </w:p>
    <w:p w14:paraId="45F7F524">
      <w:pPr>
        <w:rPr>
          <w:sz w:val="28"/>
          <w:szCs w:val="28"/>
        </w:rPr>
      </w:pPr>
    </w:p>
    <w:p w14:paraId="5ED47E6E">
      <w:pPr>
        <w:rPr>
          <w:sz w:val="28"/>
          <w:szCs w:val="28"/>
        </w:rPr>
      </w:pPr>
    </w:p>
    <w:p w14:paraId="73845E5A">
      <w:pPr>
        <w:rPr>
          <w:sz w:val="28"/>
          <w:szCs w:val="28"/>
        </w:rPr>
      </w:pPr>
    </w:p>
    <w:p w14:paraId="196391AC">
      <w:pPr>
        <w:pStyle w:val="2"/>
        <w:jc w:val="left"/>
        <w:rPr>
          <w:sz w:val="28"/>
          <w:szCs w:val="28"/>
        </w:rPr>
      </w:pPr>
      <w:r>
        <w:rPr>
          <w:sz w:val="28"/>
          <w:szCs w:val="28"/>
        </w:rPr>
        <w:t>Asociace Středních průmyslových škol ČR</w:t>
      </w:r>
    </w:p>
    <w:p w14:paraId="1BD82829"/>
    <w:p w14:paraId="0B3F6047"/>
    <w:p w14:paraId="195D31A7">
      <w:pPr>
        <w:rPr>
          <w:rFonts w:ascii="Arial" w:hAnsi="Arial" w:cs="Arial"/>
        </w:rPr>
      </w:pPr>
      <w:r>
        <w:rPr>
          <w:rFonts w:ascii="Arial" w:hAnsi="Arial" w:cs="Arial"/>
        </w:rPr>
        <w:t>Základní údaje:</w:t>
      </w:r>
    </w:p>
    <w:p w14:paraId="27468D71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Název: Asociace SPŠ ČR</w:t>
      </w:r>
    </w:p>
    <w:p w14:paraId="58ACDD40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Právní forma: spolek ( podle par. 3045 zák. č. 89/2012 Sb., občanský zákoník)</w:t>
      </w:r>
    </w:p>
    <w:p w14:paraId="7AB0B8BD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Sídlo: Křemencova 12/179, 116 28 Praha 1</w:t>
      </w:r>
    </w:p>
    <w:p w14:paraId="68AC185A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IČ: 49540807</w:t>
      </w:r>
    </w:p>
    <w:p w14:paraId="2D2F31E7">
      <w:pPr>
        <w:ind w:left="360"/>
        <w:rPr>
          <w:rFonts w:ascii="Arial" w:hAnsi="Arial" w:cs="Arial"/>
        </w:rPr>
      </w:pPr>
    </w:p>
    <w:p w14:paraId="069A3267">
      <w:pPr>
        <w:ind w:left="360"/>
        <w:rPr>
          <w:rFonts w:ascii="Arial" w:hAnsi="Arial" w:cs="Arial"/>
        </w:rPr>
      </w:pPr>
    </w:p>
    <w:p w14:paraId="648C57D5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Účetnictví je vedeno řádně, dle zákona o účetnictví a v souladu se stanovami a právními předpisy</w:t>
      </w:r>
    </w:p>
    <w:p w14:paraId="77126BFB">
      <w:pPr>
        <w:rPr>
          <w:rFonts w:ascii="Arial" w:hAnsi="Arial" w:cs="Arial"/>
        </w:rPr>
      </w:pPr>
    </w:p>
    <w:p w14:paraId="18C561B7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Porovnání příjmů a výdajů se schváleným rozpočtem</w:t>
      </w:r>
    </w:p>
    <w:p w14:paraId="674261C0">
      <w:pPr>
        <w:ind w:left="360"/>
        <w:rPr>
          <w:rFonts w:ascii="Arial" w:hAnsi="Arial" w:cs="Arial"/>
        </w:rPr>
      </w:pPr>
    </w:p>
    <w:p w14:paraId="78ACEC65">
      <w:pPr>
        <w:ind w:left="360"/>
        <w:rPr>
          <w:rFonts w:ascii="Arial" w:hAnsi="Arial" w:cs="Arial"/>
        </w:rPr>
      </w:pPr>
    </w:p>
    <w:tbl>
      <w:tblPr>
        <w:tblStyle w:val="4"/>
        <w:tblW w:w="0" w:type="auto"/>
        <w:tblInd w:w="30" w:type="dxa"/>
        <w:tblLayout w:type="fixed"/>
        <w:tblCellMar>
          <w:top w:w="0" w:type="dxa"/>
          <w:left w:w="30" w:type="dxa"/>
          <w:bottom w:w="0" w:type="dxa"/>
          <w:right w:w="30" w:type="dxa"/>
        </w:tblCellMar>
      </w:tblPr>
      <w:tblGrid>
        <w:gridCol w:w="2195"/>
        <w:gridCol w:w="1749"/>
        <w:gridCol w:w="1860"/>
        <w:gridCol w:w="80"/>
        <w:gridCol w:w="82"/>
        <w:gridCol w:w="1755"/>
        <w:gridCol w:w="1101"/>
      </w:tblGrid>
      <w:tr w14:paraId="4F1D7AF3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62" w:hRule="atLeast"/>
        </w:trPr>
        <w:tc>
          <w:tcPr>
            <w:tcW w:w="3944" w:type="dxa"/>
            <w:gridSpan w:val="2"/>
            <w:tcBorders>
              <w:bottom w:val="single" w:color="auto" w:sz="4" w:space="0"/>
            </w:tcBorders>
          </w:tcPr>
          <w:p w14:paraId="1CF5E33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Rozpočet Asociace SPŠ ČR </w:t>
            </w:r>
          </w:p>
        </w:tc>
        <w:tc>
          <w:tcPr>
            <w:tcW w:w="1940" w:type="dxa"/>
            <w:gridSpan w:val="2"/>
            <w:tcBorders>
              <w:bottom w:val="single" w:color="auto" w:sz="4" w:space="0"/>
            </w:tcBorders>
          </w:tcPr>
          <w:p w14:paraId="201B8171">
            <w:pPr>
              <w:autoSpaceDE w:val="0"/>
              <w:autoSpaceDN w:val="0"/>
              <w:adjustRightInd w:val="0"/>
              <w:rPr>
                <w:rFonts w:hint="default" w:ascii="Arial" w:hAnsi="Arial" w:cs="Arial"/>
                <w:b/>
                <w:bCs/>
                <w:color w:val="auto"/>
                <w:sz w:val="28"/>
                <w:szCs w:val="28"/>
                <w:lang w:val="cs-CZ"/>
              </w:rPr>
            </w:pPr>
            <w:r>
              <w:rPr>
                <w:rFonts w:ascii="Arial" w:hAnsi="Arial" w:cs="Arial"/>
                <w:b/>
                <w:bCs/>
                <w:color w:val="auto"/>
                <w:sz w:val="28"/>
                <w:szCs w:val="28"/>
              </w:rPr>
              <w:t>na rok 202</w:t>
            </w:r>
            <w:r>
              <w:rPr>
                <w:rFonts w:hint="default" w:ascii="Arial" w:hAnsi="Arial" w:cs="Arial"/>
                <w:b/>
                <w:bCs/>
                <w:color w:val="auto"/>
                <w:sz w:val="28"/>
                <w:szCs w:val="28"/>
                <w:lang w:val="cs-CZ"/>
              </w:rPr>
              <w:t>5</w:t>
            </w:r>
          </w:p>
        </w:tc>
        <w:tc>
          <w:tcPr>
            <w:tcW w:w="82" w:type="dxa"/>
            <w:tcBorders>
              <w:bottom w:val="single" w:color="auto" w:sz="4" w:space="0"/>
            </w:tcBorders>
          </w:tcPr>
          <w:p w14:paraId="5A417D3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755" w:type="dxa"/>
            <w:tcBorders>
              <w:bottom w:val="single" w:color="auto" w:sz="4" w:space="0"/>
            </w:tcBorders>
          </w:tcPr>
          <w:p w14:paraId="1D6D13B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auto"/>
              </w:rPr>
            </w:pPr>
          </w:p>
        </w:tc>
        <w:tc>
          <w:tcPr>
            <w:tcW w:w="1101" w:type="dxa"/>
            <w:tcBorders>
              <w:bottom w:val="single" w:color="auto" w:sz="4" w:space="0"/>
            </w:tcBorders>
          </w:tcPr>
          <w:p w14:paraId="7C9A864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14:paraId="0292B72D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957" w:hRule="atLeast"/>
        </w:trPr>
        <w:tc>
          <w:tcPr>
            <w:tcW w:w="2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02A8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08EEC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BC518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auto"/>
              </w:rPr>
            </w:pPr>
            <w:r>
              <w:rPr>
                <w:rFonts w:ascii="Arial" w:hAnsi="Arial" w:cs="Arial"/>
                <w:b/>
                <w:bCs/>
                <w:color w:val="auto"/>
              </w:rPr>
              <w:t>rok 202</w:t>
            </w:r>
            <w:r>
              <w:rPr>
                <w:rFonts w:hint="default" w:ascii="Arial" w:hAnsi="Arial" w:cs="Arial"/>
                <w:b/>
                <w:bCs/>
                <w:color w:val="auto"/>
                <w:lang w:val="cs-CZ"/>
              </w:rPr>
              <w:t xml:space="preserve">5 </w:t>
            </w:r>
            <w:r>
              <w:rPr>
                <w:rFonts w:ascii="Arial" w:hAnsi="Arial" w:cs="Arial"/>
                <w:b/>
                <w:bCs/>
                <w:color w:val="auto"/>
              </w:rPr>
              <w:t>schválený</w:t>
            </w:r>
          </w:p>
        </w:tc>
        <w:tc>
          <w:tcPr>
            <w:tcW w:w="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90AC1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25E3F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202</w:t>
            </w:r>
            <w:r>
              <w:rPr>
                <w:rFonts w:hint="default" w:ascii="Arial" w:hAnsi="Arial" w:cs="Arial"/>
                <w:b/>
                <w:bCs/>
                <w:color w:val="auto"/>
                <w:sz w:val="20"/>
                <w:szCs w:val="20"/>
                <w:lang w:val="cs-CZ"/>
              </w:rPr>
              <w:t>5</w:t>
            </w:r>
            <w:r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skutečnost</w:t>
            </w:r>
          </w:p>
        </w:tc>
        <w:tc>
          <w:tcPr>
            <w:tcW w:w="1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A741C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rozdíl</w:t>
            </w:r>
          </w:p>
        </w:tc>
      </w:tr>
      <w:tr w14:paraId="4E33FB24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05" w:hRule="atLeast"/>
        </w:trPr>
        <w:tc>
          <w:tcPr>
            <w:tcW w:w="2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89EAF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počáteční stav 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074F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84054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  <w:t>685 200,00</w:t>
            </w:r>
          </w:p>
        </w:tc>
        <w:tc>
          <w:tcPr>
            <w:tcW w:w="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CB56F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D3802C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  <w:t>775 143,69</w:t>
            </w:r>
          </w:p>
        </w:tc>
        <w:tc>
          <w:tcPr>
            <w:tcW w:w="1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E8CE03">
            <w:pPr>
              <w:autoSpaceDE w:val="0"/>
              <w:autoSpaceDN w:val="0"/>
              <w:adjustRightInd w:val="0"/>
              <w:jc w:val="right"/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</w:pPr>
            <w:r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  <w:t>-89 943,69</w:t>
            </w:r>
          </w:p>
        </w:tc>
      </w:tr>
      <w:tr w14:paraId="3E7ACEC3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90" w:hRule="atLeast"/>
        </w:trPr>
        <w:tc>
          <w:tcPr>
            <w:tcW w:w="2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367ACE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120BC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5B7E9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13DC1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EE4C0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E73F7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14:paraId="25F1447D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90" w:hRule="atLeast"/>
        </w:trPr>
        <w:tc>
          <w:tcPr>
            <w:tcW w:w="2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5AE57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příjmy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21927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FBEA30">
            <w:pPr>
              <w:autoSpaceDE w:val="0"/>
              <w:autoSpaceDN w:val="0"/>
              <w:adjustRightInd w:val="0"/>
              <w:jc w:val="center"/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</w:pPr>
            <w:r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  <w:t xml:space="preserve">           1 050 000,00</w:t>
            </w:r>
          </w:p>
        </w:tc>
        <w:tc>
          <w:tcPr>
            <w:tcW w:w="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543E4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E619F6">
            <w:pPr>
              <w:autoSpaceDE w:val="0"/>
              <w:autoSpaceDN w:val="0"/>
              <w:adjustRightInd w:val="0"/>
              <w:jc w:val="right"/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</w:pPr>
            <w:r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  <w:t>973 000,00</w:t>
            </w:r>
          </w:p>
        </w:tc>
        <w:tc>
          <w:tcPr>
            <w:tcW w:w="1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7EC8FD">
            <w:pPr>
              <w:autoSpaceDE w:val="0"/>
              <w:autoSpaceDN w:val="0"/>
              <w:adjustRightInd w:val="0"/>
              <w:jc w:val="right"/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</w:pPr>
            <w:r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  <w:t>77 000,00</w:t>
            </w:r>
          </w:p>
        </w:tc>
      </w:tr>
      <w:tr w14:paraId="72E85072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05" w:hRule="atLeast"/>
        </w:trPr>
        <w:tc>
          <w:tcPr>
            <w:tcW w:w="2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DD3A3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Celkem příjmy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0E27E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</w:rPr>
            </w:pP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1E2C1A">
            <w:pPr>
              <w:autoSpaceDE w:val="0"/>
              <w:autoSpaceDN w:val="0"/>
              <w:adjustRightInd w:val="0"/>
              <w:jc w:val="right"/>
              <w:rPr>
                <w:rFonts w:hint="default" w:ascii="Arial" w:hAnsi="Arial" w:cs="Arial"/>
                <w:b/>
                <w:bCs/>
                <w:color w:val="auto"/>
                <w:sz w:val="20"/>
                <w:szCs w:val="20"/>
                <w:lang w:val="cs-CZ"/>
              </w:rPr>
            </w:pPr>
            <w:r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1 </w:t>
            </w:r>
            <w:r>
              <w:rPr>
                <w:rFonts w:hint="default" w:ascii="Arial" w:hAnsi="Arial" w:cs="Arial"/>
                <w:b/>
                <w:bCs/>
                <w:color w:val="auto"/>
                <w:sz w:val="20"/>
                <w:szCs w:val="20"/>
                <w:lang w:val="cs-CZ"/>
              </w:rPr>
              <w:t>735 200,00</w:t>
            </w:r>
          </w:p>
        </w:tc>
        <w:tc>
          <w:tcPr>
            <w:tcW w:w="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8EB11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2CC2C8">
            <w:pPr>
              <w:autoSpaceDE w:val="0"/>
              <w:autoSpaceDN w:val="0"/>
              <w:adjustRightInd w:val="0"/>
              <w:jc w:val="right"/>
              <w:rPr>
                <w:rFonts w:hint="default" w:ascii="Arial" w:hAnsi="Arial" w:cs="Arial"/>
                <w:b/>
                <w:bCs/>
                <w:color w:val="auto"/>
                <w:sz w:val="20"/>
                <w:szCs w:val="20"/>
                <w:lang w:val="cs-CZ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sz w:val="20"/>
                <w:szCs w:val="20"/>
                <w:lang w:val="cs-CZ"/>
              </w:rPr>
              <w:t>1 748 143,69</w:t>
            </w:r>
          </w:p>
        </w:tc>
        <w:tc>
          <w:tcPr>
            <w:tcW w:w="1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393D10">
            <w:pPr>
              <w:wordWrap/>
              <w:autoSpaceDE w:val="0"/>
              <w:autoSpaceDN w:val="0"/>
              <w:adjustRightInd w:val="0"/>
              <w:jc w:val="right"/>
              <w:rPr>
                <w:rFonts w:hint="default" w:ascii="Arial" w:hAnsi="Arial" w:cs="Arial"/>
                <w:b/>
                <w:color w:val="auto"/>
                <w:sz w:val="20"/>
                <w:szCs w:val="20"/>
                <w:lang w:val="cs-CZ"/>
              </w:rPr>
            </w:pPr>
            <w:r>
              <w:rPr>
                <w:rFonts w:hint="default" w:ascii="Arial" w:hAnsi="Arial" w:cs="Arial"/>
                <w:b/>
                <w:color w:val="auto"/>
                <w:sz w:val="20"/>
                <w:szCs w:val="20"/>
                <w:lang w:val="cs-CZ"/>
              </w:rPr>
              <w:t>-12 943,69</w:t>
            </w:r>
          </w:p>
        </w:tc>
      </w:tr>
      <w:tr w14:paraId="256B60DA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90" w:hRule="atLeast"/>
        </w:trPr>
        <w:tc>
          <w:tcPr>
            <w:tcW w:w="2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632A1C">
            <w:pPr>
              <w:numPr>
                <w:ilvl w:val="0"/>
                <w:numId w:val="0"/>
              </w:numPr>
              <w:wordWrap/>
              <w:autoSpaceDE w:val="0"/>
              <w:autoSpaceDN w:val="0"/>
              <w:adjustRightInd w:val="0"/>
              <w:jc w:val="left"/>
              <w:rPr>
                <w:rFonts w:hint="default" w:ascii="Arial" w:hAnsi="Arial" w:cs="Arial"/>
                <w:lang w:val="cs-CZ"/>
              </w:rPr>
            </w:pP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53686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D86D3E">
            <w:pPr>
              <w:wordWrap w:val="0"/>
              <w:autoSpaceDE w:val="0"/>
              <w:autoSpaceDN w:val="0"/>
              <w:adjustRightInd w:val="0"/>
              <w:jc w:val="right"/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</w:pPr>
          </w:p>
        </w:tc>
        <w:tc>
          <w:tcPr>
            <w:tcW w:w="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E39DB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276109">
            <w:pPr>
              <w:autoSpaceDE w:val="0"/>
              <w:autoSpaceDN w:val="0"/>
              <w:adjustRightInd w:val="0"/>
              <w:jc w:val="right"/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</w:pPr>
          </w:p>
        </w:tc>
        <w:tc>
          <w:tcPr>
            <w:tcW w:w="1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C25608">
            <w:pPr>
              <w:wordWrap w:val="0"/>
              <w:autoSpaceDE w:val="0"/>
              <w:autoSpaceDN w:val="0"/>
              <w:adjustRightInd w:val="0"/>
              <w:jc w:val="right"/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</w:pPr>
          </w:p>
        </w:tc>
      </w:tr>
      <w:tr w14:paraId="00AAD499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90" w:hRule="atLeast"/>
        </w:trPr>
        <w:tc>
          <w:tcPr>
            <w:tcW w:w="2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6F4CE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DPP krajské rady + předseda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E6459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08552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  <w:t xml:space="preserve">476 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000,00</w:t>
            </w:r>
          </w:p>
        </w:tc>
        <w:tc>
          <w:tcPr>
            <w:tcW w:w="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B75B9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40651A">
            <w:pPr>
              <w:autoSpaceDE w:val="0"/>
              <w:autoSpaceDN w:val="0"/>
              <w:adjustRightInd w:val="0"/>
              <w:jc w:val="right"/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</w:pPr>
            <w:r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  <w:t>437 530,00</w:t>
            </w:r>
          </w:p>
        </w:tc>
        <w:tc>
          <w:tcPr>
            <w:tcW w:w="1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735C5A">
            <w:pPr>
              <w:wordWrap w:val="0"/>
              <w:autoSpaceDE w:val="0"/>
              <w:autoSpaceDN w:val="0"/>
              <w:adjustRightInd w:val="0"/>
              <w:jc w:val="right"/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</w:pPr>
            <w:r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  <w:t>38 470,00</w:t>
            </w:r>
          </w:p>
        </w:tc>
      </w:tr>
      <w:tr w14:paraId="72AD5740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90" w:hRule="atLeast"/>
        </w:trPr>
        <w:tc>
          <w:tcPr>
            <w:tcW w:w="2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AA944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s-CZ"/>
              </w:rPr>
              <w:t xml:space="preserve"> </w:t>
            </w:r>
            <w:r>
              <w:rPr>
                <w:rFonts w:ascii="Arial" w:hAnsi="Arial" w:cs="Arial"/>
              </w:rPr>
              <w:t>Krajské rady porady, režie,  ostatní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071F1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409C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  <w:t>40.000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,00</w:t>
            </w:r>
          </w:p>
        </w:tc>
        <w:tc>
          <w:tcPr>
            <w:tcW w:w="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C63BA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EA248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  <w:t>121 096,00</w:t>
            </w:r>
          </w:p>
        </w:tc>
        <w:tc>
          <w:tcPr>
            <w:tcW w:w="1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8753F9">
            <w:pPr>
              <w:wordWrap/>
              <w:autoSpaceDE w:val="0"/>
              <w:autoSpaceDN w:val="0"/>
              <w:adjustRightInd w:val="0"/>
              <w:jc w:val="right"/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</w:pPr>
            <w:r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  <w:t>-81 096,00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  </w:t>
            </w:r>
          </w:p>
        </w:tc>
      </w:tr>
      <w:tr w14:paraId="63C7B779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90" w:hRule="atLeast"/>
        </w:trPr>
        <w:tc>
          <w:tcPr>
            <w:tcW w:w="2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F9280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valná hromada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81CFCA">
            <w:pPr>
              <w:wordWrap/>
              <w:autoSpaceDE w:val="0"/>
              <w:autoSpaceDN w:val="0"/>
              <w:adjustRightInd w:val="0"/>
              <w:jc w:val="left"/>
              <w:rPr>
                <w:rFonts w:hint="default" w:ascii="Arial" w:hAnsi="Arial" w:cs="Arial"/>
                <w:lang w:val="cs-CZ"/>
              </w:rPr>
            </w:pPr>
            <w:r>
              <w:rPr>
                <w:rFonts w:hint="default" w:ascii="Arial" w:hAnsi="Arial" w:cs="Arial"/>
                <w:sz w:val="16"/>
                <w:szCs w:val="16"/>
                <w:lang w:val="cs-CZ"/>
              </w:rPr>
              <w:t>-112 000,00 pl. 2. účastník 28x 4000</w:t>
            </w: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0D4F3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6</w:t>
            </w:r>
            <w:r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  <w:t>7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0 000,00</w:t>
            </w:r>
          </w:p>
        </w:tc>
        <w:tc>
          <w:tcPr>
            <w:tcW w:w="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A52B8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84A500">
            <w:pPr>
              <w:autoSpaceDE w:val="0"/>
              <w:autoSpaceDN w:val="0"/>
              <w:adjustRightInd w:val="0"/>
              <w:jc w:val="right"/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</w:pPr>
            <w:r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  <w:t>723 203,00</w:t>
            </w:r>
          </w:p>
        </w:tc>
        <w:tc>
          <w:tcPr>
            <w:tcW w:w="1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BAD69A">
            <w:pPr>
              <w:wordWrap w:val="0"/>
              <w:autoSpaceDE w:val="0"/>
              <w:autoSpaceDN w:val="0"/>
              <w:adjustRightInd w:val="0"/>
              <w:jc w:val="right"/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</w:pPr>
            <w:r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  <w:t>-53 203,00</w:t>
            </w:r>
          </w:p>
        </w:tc>
      </w:tr>
      <w:tr w14:paraId="01028345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90" w:hRule="atLeast"/>
        </w:trPr>
        <w:tc>
          <w:tcPr>
            <w:tcW w:w="2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D67B83">
            <w:pPr>
              <w:autoSpaceDE w:val="0"/>
              <w:autoSpaceDN w:val="0"/>
              <w:adjustRightInd w:val="0"/>
              <w:rPr>
                <w:rFonts w:hint="default" w:ascii="Arial" w:hAnsi="Arial" w:cs="Arial"/>
                <w:lang w:val="cs-CZ"/>
              </w:rPr>
            </w:pPr>
            <w:r>
              <w:rPr>
                <w:rFonts w:hint="default" w:ascii="Arial" w:hAnsi="Arial" w:cs="Arial"/>
                <w:lang w:val="cs-CZ"/>
              </w:rPr>
              <w:t>P</w:t>
            </w:r>
            <w:r>
              <w:rPr>
                <w:rFonts w:ascii="Arial" w:hAnsi="Arial" w:cs="Arial"/>
              </w:rPr>
              <w:t>oplatky</w:t>
            </w:r>
            <w:r>
              <w:rPr>
                <w:rFonts w:hint="default" w:ascii="Arial" w:hAnsi="Arial" w:cs="Arial"/>
                <w:lang w:val="cs-CZ"/>
              </w:rPr>
              <w:t>, položky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4D59A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747E3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  <w:t>0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,00</w:t>
            </w:r>
          </w:p>
        </w:tc>
        <w:tc>
          <w:tcPr>
            <w:tcW w:w="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1B8A3B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92C962">
            <w:pPr>
              <w:autoSpaceDE w:val="0"/>
              <w:autoSpaceDN w:val="0"/>
              <w:adjustRightInd w:val="0"/>
              <w:ind w:firstLine="1100" w:firstLineChars="550"/>
              <w:jc w:val="both"/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</w:pPr>
            <w:r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  <w:t>180,00</w:t>
            </w:r>
          </w:p>
        </w:tc>
        <w:tc>
          <w:tcPr>
            <w:tcW w:w="1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44872D">
            <w:pPr>
              <w:autoSpaceDE w:val="0"/>
              <w:autoSpaceDN w:val="0"/>
              <w:adjustRightInd w:val="0"/>
              <w:jc w:val="right"/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</w:pPr>
            <w:r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  <w:t>-180,00</w:t>
            </w:r>
          </w:p>
        </w:tc>
      </w:tr>
      <w:tr w14:paraId="1591366E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90" w:hRule="atLeast"/>
        </w:trPr>
        <w:tc>
          <w:tcPr>
            <w:tcW w:w="2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72B13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poplatek CZESHA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04E82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4A80A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  <w:t>54 800,00</w:t>
            </w:r>
          </w:p>
        </w:tc>
        <w:tc>
          <w:tcPr>
            <w:tcW w:w="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3541E7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52E3B92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  <w:t>55 600,00</w:t>
            </w:r>
          </w:p>
        </w:tc>
        <w:tc>
          <w:tcPr>
            <w:tcW w:w="1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B0253C">
            <w:pPr>
              <w:autoSpaceDE w:val="0"/>
              <w:autoSpaceDN w:val="0"/>
              <w:adjustRightInd w:val="0"/>
              <w:jc w:val="right"/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</w:pPr>
            <w:r>
              <w:rPr>
                <w:rFonts w:hint="default" w:ascii="Arial" w:hAnsi="Arial" w:cs="Arial"/>
                <w:color w:val="auto"/>
                <w:sz w:val="20"/>
                <w:szCs w:val="20"/>
                <w:lang w:val="cs-CZ"/>
              </w:rPr>
              <w:t>-800,00</w:t>
            </w:r>
          </w:p>
        </w:tc>
      </w:tr>
      <w:tr w14:paraId="2E25FA34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290" w:hRule="atLeast"/>
        </w:trPr>
        <w:tc>
          <w:tcPr>
            <w:tcW w:w="2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E1E64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4D686C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ABDDA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6381D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79396C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9CCB0A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14:paraId="01E4CFA7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305" w:hRule="atLeast"/>
        </w:trPr>
        <w:tc>
          <w:tcPr>
            <w:tcW w:w="2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FC5FE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Celkem výdaje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F6FD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Cs/>
              </w:rPr>
            </w:pP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56AC0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sz w:val="20"/>
                <w:szCs w:val="20"/>
                <w:lang w:val="cs-CZ"/>
              </w:rPr>
              <w:t>1 240 8</w:t>
            </w:r>
            <w:r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00,00</w:t>
            </w:r>
          </w:p>
        </w:tc>
        <w:tc>
          <w:tcPr>
            <w:tcW w:w="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132E69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8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E85B1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>
              <w:rPr>
                <w:rFonts w:hint="default" w:ascii="Arial" w:hAnsi="Arial" w:cs="Arial"/>
                <w:b/>
                <w:bCs/>
                <w:color w:val="auto"/>
                <w:sz w:val="20"/>
                <w:szCs w:val="20"/>
                <w:lang w:val="cs-CZ"/>
              </w:rPr>
              <w:t>1 337 609,16</w:t>
            </w:r>
          </w:p>
        </w:tc>
        <w:tc>
          <w:tcPr>
            <w:tcW w:w="11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5FC7A18">
            <w:pPr>
              <w:wordWrap w:val="0"/>
              <w:autoSpaceDE w:val="0"/>
              <w:autoSpaceDN w:val="0"/>
              <w:adjustRightInd w:val="0"/>
              <w:jc w:val="right"/>
              <w:rPr>
                <w:rFonts w:hint="default" w:ascii="Arial" w:hAnsi="Arial" w:cs="Arial"/>
                <w:b/>
                <w:color w:val="auto"/>
                <w:sz w:val="20"/>
                <w:szCs w:val="20"/>
                <w:lang w:val="cs-CZ"/>
              </w:rPr>
            </w:pPr>
            <w:r>
              <w:rPr>
                <w:rFonts w:hint="default" w:ascii="Arial" w:hAnsi="Arial" w:cs="Arial"/>
                <w:b/>
                <w:color w:val="auto"/>
                <w:sz w:val="20"/>
                <w:szCs w:val="20"/>
                <w:lang w:val="cs-CZ"/>
              </w:rPr>
              <w:t>-96 809,16</w:t>
            </w:r>
          </w:p>
        </w:tc>
      </w:tr>
    </w:tbl>
    <w:p w14:paraId="78E0DC47">
      <w:pPr>
        <w:ind w:left="360"/>
        <w:rPr>
          <w:rFonts w:ascii="Arial" w:hAnsi="Arial" w:cs="Arial"/>
        </w:rPr>
      </w:pPr>
    </w:p>
    <w:p w14:paraId="656F7ACA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C ) Kontrola nakládání se svěřenými finančními  prostředky</w:t>
      </w:r>
    </w:p>
    <w:p w14:paraId="00C67FE9">
      <w:pPr>
        <w:ind w:left="735"/>
        <w:rPr>
          <w:rFonts w:ascii="Arial" w:hAnsi="Arial" w:cs="Arial"/>
        </w:rPr>
      </w:pPr>
      <w:r>
        <w:rPr>
          <w:rFonts w:ascii="Arial" w:hAnsi="Arial" w:cs="Arial"/>
        </w:rPr>
        <w:t>Kontrolované finanční prostředky  za období 202</w:t>
      </w:r>
      <w:r>
        <w:rPr>
          <w:rFonts w:hint="default" w:ascii="Arial" w:hAnsi="Arial" w:cs="Arial"/>
          <w:lang w:val="cs-CZ"/>
        </w:rPr>
        <w:t>5</w:t>
      </w:r>
      <w:r>
        <w:rPr>
          <w:rFonts w:ascii="Arial" w:hAnsi="Arial" w:cs="Arial"/>
        </w:rPr>
        <w:t xml:space="preserve"> byly vynaloženy průkazně a hospodárně.</w:t>
      </w:r>
    </w:p>
    <w:p w14:paraId="5A25D008">
      <w:pPr>
        <w:ind w:left="735"/>
        <w:rPr>
          <w:rFonts w:ascii="Arial" w:hAnsi="Arial" w:cs="Arial"/>
        </w:rPr>
      </w:pPr>
    </w:p>
    <w:p w14:paraId="77AA9A32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Kontrola správnosti vedení účetnictví </w:t>
      </w:r>
    </w:p>
    <w:p w14:paraId="66EA6CEB">
      <w:pPr>
        <w:ind w:left="735"/>
        <w:rPr>
          <w:rFonts w:ascii="Arial" w:hAnsi="Arial" w:cs="Arial"/>
        </w:rPr>
      </w:pPr>
      <w:r>
        <w:rPr>
          <w:rFonts w:ascii="Arial" w:hAnsi="Arial" w:cs="Arial"/>
        </w:rPr>
        <w:t>Viz. příloha č. 1 zpráva o hospodaření.</w:t>
      </w:r>
    </w:p>
    <w:p w14:paraId="4A615DD8">
      <w:pPr>
        <w:ind w:left="735"/>
        <w:rPr>
          <w:rFonts w:ascii="Arial" w:hAnsi="Arial" w:cs="Arial"/>
        </w:rPr>
      </w:pPr>
    </w:p>
    <w:p w14:paraId="145A0595">
      <w:pPr>
        <w:ind w:left="735"/>
        <w:rPr>
          <w:rFonts w:ascii="Arial" w:hAnsi="Arial" w:cs="Arial"/>
        </w:rPr>
      </w:pPr>
    </w:p>
    <w:p w14:paraId="5C94DE00">
      <w:pPr>
        <w:numPr>
          <w:ilvl w:val="0"/>
          <w:numId w:val="3"/>
        </w:numPr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Zhodnocení výsledku hospodaření za rok 202</w:t>
      </w:r>
      <w:r>
        <w:rPr>
          <w:rFonts w:hint="default" w:ascii="Arial" w:hAnsi="Arial" w:cs="Arial"/>
          <w:color w:val="auto"/>
          <w:lang w:val="cs-CZ"/>
        </w:rPr>
        <w:t>5</w:t>
      </w:r>
    </w:p>
    <w:p w14:paraId="2B0F021C">
      <w:pPr>
        <w:ind w:left="735" w:firstLine="120" w:firstLineChars="50"/>
        <w:rPr>
          <w:rFonts w:hint="default" w:ascii="Arial" w:hAnsi="Arial" w:cs="Arial"/>
          <w:color w:val="auto"/>
          <w:lang w:val="cs-CZ"/>
        </w:rPr>
      </w:pPr>
      <w:r>
        <w:rPr>
          <w:rFonts w:hint="default" w:ascii="Arial" w:hAnsi="Arial" w:cs="Arial"/>
          <w:color w:val="auto"/>
          <w:lang w:val="cs-CZ"/>
        </w:rPr>
        <w:t>Výdaje v roce 2025 byly ve výši 1 337 609,16 kč.</w:t>
      </w:r>
    </w:p>
    <w:p w14:paraId="1795A3DC">
      <w:pPr>
        <w:ind w:left="854" w:leftChars="306" w:hanging="120" w:hangingChars="50"/>
        <w:rPr>
          <w:rFonts w:hint="default" w:ascii="Arial" w:hAnsi="Arial" w:cs="Arial"/>
          <w:color w:val="auto"/>
          <w:lang w:val="cs-CZ"/>
        </w:rPr>
      </w:pPr>
      <w:r>
        <w:rPr>
          <w:rFonts w:hint="default" w:ascii="Arial" w:hAnsi="Arial" w:cs="Arial"/>
          <w:color w:val="auto"/>
          <w:lang w:val="cs-CZ"/>
        </w:rPr>
        <w:t xml:space="preserve">  Příjmy  973 000,00Kč,rozdíl ve výši 364 609,16 Kč byl financován ze zůstatku minulých let.</w:t>
      </w:r>
    </w:p>
    <w:p w14:paraId="5F1C14CF">
      <w:pPr>
        <w:numPr>
          <w:ilvl w:val="0"/>
          <w:numId w:val="3"/>
        </w:numPr>
        <w:ind w:left="786" w:leftChars="0" w:hanging="360" w:firstLineChars="0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 Kontrola odůvodněnosti finančních operací představenstva</w:t>
      </w:r>
    </w:p>
    <w:p w14:paraId="2BECA5C0">
      <w:pPr>
        <w:numPr>
          <w:ilvl w:val="0"/>
          <w:numId w:val="0"/>
        </w:numPr>
        <w:rPr>
          <w:rFonts w:hint="default" w:ascii="Arial" w:hAnsi="Arial" w:cs="Arial"/>
          <w:i/>
          <w:iCs/>
          <w:lang w:val="cs-CZ"/>
        </w:rPr>
      </w:pPr>
      <w:r>
        <w:rPr>
          <w:rFonts w:hint="default" w:ascii="Arial" w:hAnsi="Arial" w:cs="Arial"/>
          <w:i/>
          <w:iCs/>
          <w:lang w:val="cs-CZ"/>
        </w:rPr>
        <w:t xml:space="preserve">             </w:t>
      </w:r>
    </w:p>
    <w:p w14:paraId="1DE66996">
      <w:pPr>
        <w:numPr>
          <w:ilvl w:val="0"/>
          <w:numId w:val="4"/>
        </w:numPr>
        <w:rPr>
          <w:rFonts w:ascii="Arial" w:hAnsi="Arial" w:cs="Arial"/>
          <w:i/>
        </w:rPr>
      </w:pPr>
      <w:r>
        <w:rPr>
          <w:rFonts w:hint="default" w:ascii="Arial" w:hAnsi="Arial" w:cs="Arial"/>
          <w:i/>
          <w:lang w:val="cs-CZ"/>
        </w:rPr>
        <w:t xml:space="preserve"> </w:t>
      </w:r>
      <w:r>
        <w:rPr>
          <w:rFonts w:ascii="Arial" w:hAnsi="Arial" w:cs="Arial"/>
          <w:i/>
        </w:rPr>
        <w:t>Kontrola úhrady členských příspěvků</w:t>
      </w:r>
    </w:p>
    <w:p w14:paraId="2B6D675A">
      <w:pPr>
        <w:ind w:left="735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Ke dni kontroly mají všechny asociace uhrazen členský příspěvek.</w:t>
      </w:r>
    </w:p>
    <w:p w14:paraId="1F22A297">
      <w:pPr>
        <w:ind w:left="735"/>
        <w:rPr>
          <w:rFonts w:ascii="Arial" w:hAnsi="Arial" w:cs="Arial"/>
          <w:i/>
        </w:rPr>
      </w:pPr>
    </w:p>
    <w:p w14:paraId="0EC44BDB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H)  Kontrola souladu rozhodnutí předsednictva a Národní rady se stanovami</w:t>
      </w:r>
    </w:p>
    <w:p w14:paraId="1B9ED199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 a   zákonem.</w:t>
      </w:r>
    </w:p>
    <w:p w14:paraId="36DBA789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</w:t>
      </w:r>
    </w:p>
    <w:p w14:paraId="23B6FB27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I)   Přezkoumání o vyloučení člena</w:t>
      </w:r>
    </w:p>
    <w:p w14:paraId="3DCDCC7A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  Za období roku 202</w:t>
      </w:r>
      <w:r>
        <w:rPr>
          <w:rFonts w:hint="default" w:ascii="Arial" w:hAnsi="Arial" w:cs="Arial"/>
          <w:i/>
          <w:lang w:val="cs-CZ"/>
        </w:rPr>
        <w:t>5</w:t>
      </w:r>
      <w:r>
        <w:rPr>
          <w:rFonts w:ascii="Arial" w:hAnsi="Arial" w:cs="Arial"/>
          <w:i/>
        </w:rPr>
        <w:t xml:space="preserve"> nebyl podán žádný návrh na vyloučení člena </w:t>
      </w:r>
    </w:p>
    <w:p w14:paraId="1B2A3ED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</w:t>
      </w:r>
    </w:p>
    <w:p w14:paraId="3EB95B6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J) Plnění dalších úkolů, které jí jako kontrolnímu orgánu ukládají právní </w:t>
      </w:r>
    </w:p>
    <w:p w14:paraId="67F4591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předpisy nebo stanovy</w:t>
      </w:r>
    </w:p>
    <w:p w14:paraId="240A4C3A">
      <w:pPr>
        <w:rPr>
          <w:rFonts w:ascii="Arial" w:hAnsi="Arial" w:cs="Arial"/>
        </w:rPr>
      </w:pPr>
    </w:p>
    <w:p w14:paraId="3A1B1F7E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v řádném termínu bylo podáno daňové přiznání právnických osob    </w:t>
      </w:r>
    </w:p>
    <w:p w14:paraId="3D93F71F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v řádném termínu bylo podáno DP srážkové daně  za rok 202</w:t>
      </w:r>
      <w:r>
        <w:rPr>
          <w:rFonts w:hint="default" w:ascii="Arial" w:hAnsi="Arial" w:cs="Arial"/>
          <w:lang w:val="cs-CZ"/>
        </w:rPr>
        <w:t>5</w:t>
      </w:r>
      <w:r>
        <w:rPr>
          <w:rFonts w:ascii="Arial" w:hAnsi="Arial" w:cs="Arial"/>
        </w:rPr>
        <w:t xml:space="preserve">  </w:t>
      </w:r>
    </w:p>
    <w:p w14:paraId="66A3021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1693887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K) Plnění úkolů, které byly uloženy předsednictvem a VH </w:t>
      </w:r>
    </w:p>
    <w:p w14:paraId="34E716D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Za rok 202</w:t>
      </w:r>
      <w:r>
        <w:rPr>
          <w:rFonts w:hint="default" w:ascii="Arial" w:hAnsi="Arial" w:cs="Arial"/>
          <w:lang w:val="cs-CZ"/>
        </w:rPr>
        <w:t>5</w:t>
      </w:r>
      <w:r>
        <w:rPr>
          <w:rFonts w:ascii="Arial" w:hAnsi="Arial" w:cs="Arial"/>
        </w:rPr>
        <w:t xml:space="preserve"> nebyly  uloženy žádné úkoly.</w:t>
      </w:r>
    </w:p>
    <w:p w14:paraId="2C2505B5">
      <w:pPr>
        <w:rPr>
          <w:rFonts w:ascii="Arial" w:hAnsi="Arial" w:cs="Arial"/>
        </w:rPr>
      </w:pPr>
    </w:p>
    <w:p w14:paraId="7DF710EF">
      <w:pPr>
        <w:rPr>
          <w:rFonts w:ascii="Arial" w:hAnsi="Arial" w:cs="Arial"/>
        </w:rPr>
      </w:pPr>
    </w:p>
    <w:p w14:paraId="78565E64">
      <w:pPr>
        <w:rPr>
          <w:rFonts w:ascii="Arial" w:hAnsi="Arial" w:cs="Arial"/>
        </w:rPr>
      </w:pPr>
    </w:p>
    <w:p w14:paraId="7B76BDE8">
      <w:pPr>
        <w:rPr>
          <w:rFonts w:ascii="Arial" w:hAnsi="Arial" w:cs="Arial"/>
        </w:rPr>
      </w:pPr>
    </w:p>
    <w:p w14:paraId="30889208">
      <w:pPr>
        <w:rPr>
          <w:rFonts w:ascii="Arial" w:hAnsi="Arial" w:cs="Arial"/>
        </w:rPr>
      </w:pPr>
    </w:p>
    <w:p w14:paraId="20643F9A">
      <w:pPr>
        <w:jc w:val="center"/>
        <w:rPr>
          <w:rFonts w:ascii="Arial" w:hAnsi="Arial" w:cs="Arial"/>
        </w:rPr>
      </w:pPr>
    </w:p>
    <w:p w14:paraId="40E8B656">
      <w:pPr>
        <w:jc w:val="center"/>
        <w:rPr>
          <w:rFonts w:ascii="Arial" w:hAnsi="Arial" w:cs="Arial"/>
        </w:rPr>
      </w:pPr>
      <w:r>
        <w:drawing>
          <wp:inline distT="0" distB="0" distL="0" distR="0">
            <wp:extent cx="5204460" cy="3192145"/>
            <wp:effectExtent l="0" t="0" r="0" b="825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06055" cy="3193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A3DC49">
      <w:pPr>
        <w:jc w:val="center"/>
        <w:rPr>
          <w:rFonts w:ascii="Arial" w:hAnsi="Arial" w:cs="Arial"/>
        </w:rPr>
      </w:pPr>
    </w:p>
    <w:p w14:paraId="7346BFF2">
      <w:pPr>
        <w:rPr>
          <w:rFonts w:ascii="Arial" w:hAnsi="Arial" w:cs="Arial"/>
        </w:rPr>
      </w:pPr>
    </w:p>
    <w:p w14:paraId="7C3EA889">
      <w:pPr>
        <w:rPr>
          <w:rFonts w:ascii="Arial" w:hAnsi="Arial" w:cs="Arial"/>
        </w:rPr>
      </w:pPr>
    </w:p>
    <w:sectPr>
      <w:pgSz w:w="11906" w:h="16838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numPicBullet w:numPicBulletId="0">
    <w:pict>
      <v:shape id="0" type="#_x0000_t75" style="width:15px;height:15px" o:bullet="t">
        <v:imagedata r:id="rId1" o:title=""/>
      </v:shape>
    </w:pict>
  </w:numPicBullet>
  <w:abstractNum w:abstractNumId="0">
    <w:nsid w:val="0B5A2BC7"/>
    <w:multiLevelType w:val="multilevel"/>
    <w:tmpl w:val="0B5A2BC7"/>
    <w:lvl w:ilvl="0" w:tentative="0">
      <w:start w:val="1"/>
      <w:numFmt w:val="upperLetter"/>
      <w:lvlText w:val="%1)"/>
      <w:lvlJc w:val="left"/>
      <w:pPr>
        <w:tabs>
          <w:tab w:val="left" w:pos="735"/>
        </w:tabs>
        <w:ind w:left="735" w:hanging="375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0D2911E1"/>
    <w:multiLevelType w:val="multilevel"/>
    <w:tmpl w:val="0D2911E1"/>
    <w:lvl w:ilvl="0" w:tentative="0">
      <w:start w:val="1"/>
      <w:numFmt w:val="bullet"/>
      <w:lvlText w:val=""/>
      <w:lvlPicBulletId w:val="0"/>
      <w:lvlJc w:val="left"/>
      <w:pPr>
        <w:tabs>
          <w:tab w:val="left" w:pos="1580"/>
        </w:tabs>
        <w:ind w:left="158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tabs>
          <w:tab w:val="left" w:pos="2300"/>
        </w:tabs>
        <w:ind w:left="230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tabs>
          <w:tab w:val="left" w:pos="3020"/>
        </w:tabs>
        <w:ind w:left="302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tabs>
          <w:tab w:val="left" w:pos="3740"/>
        </w:tabs>
        <w:ind w:left="374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tabs>
          <w:tab w:val="left" w:pos="4460"/>
        </w:tabs>
        <w:ind w:left="446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tabs>
          <w:tab w:val="left" w:pos="5180"/>
        </w:tabs>
        <w:ind w:left="518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tabs>
          <w:tab w:val="left" w:pos="5900"/>
        </w:tabs>
        <w:ind w:left="590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tabs>
          <w:tab w:val="left" w:pos="6620"/>
        </w:tabs>
        <w:ind w:left="662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tabs>
          <w:tab w:val="left" w:pos="7340"/>
        </w:tabs>
        <w:ind w:left="7340" w:hanging="360"/>
      </w:pPr>
      <w:rPr>
        <w:rFonts w:hint="default" w:ascii="Wingdings" w:hAnsi="Wingdings"/>
      </w:rPr>
    </w:lvl>
  </w:abstractNum>
  <w:abstractNum w:abstractNumId="2">
    <w:nsid w:val="10287119"/>
    <w:multiLevelType w:val="multilevel"/>
    <w:tmpl w:val="1028711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bullet"/>
      <w:lvlText w:val=""/>
      <w:lvlJc w:val="left"/>
      <w:pPr>
        <w:tabs>
          <w:tab w:val="left" w:pos="1440"/>
        </w:tabs>
        <w:ind w:left="1440" w:hanging="360"/>
      </w:pPr>
      <w:rPr>
        <w:rFonts w:hint="default" w:ascii="Wingdings" w:hAnsi="Wingdings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">
    <w:nsid w:val="160E5AB0"/>
    <w:multiLevelType w:val="multilevel"/>
    <w:tmpl w:val="160E5AB0"/>
    <w:lvl w:ilvl="0" w:tentative="0">
      <w:start w:val="7"/>
      <w:numFmt w:val="upperLetter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4">
    <w:nsid w:val="4E81739F"/>
    <w:multiLevelType w:val="multilevel"/>
    <w:tmpl w:val="4E81739F"/>
    <w:lvl w:ilvl="0" w:tentative="0">
      <w:start w:val="4"/>
      <w:numFmt w:val="upperLetter"/>
      <w:lvlText w:val="%1)"/>
      <w:lvlJc w:val="left"/>
      <w:pPr>
        <w:tabs>
          <w:tab w:val="left" w:pos="786"/>
        </w:tabs>
        <w:ind w:left="786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C16"/>
    <w:rsid w:val="000014E3"/>
    <w:rsid w:val="00011677"/>
    <w:rsid w:val="0003146D"/>
    <w:rsid w:val="00031EF8"/>
    <w:rsid w:val="00056FF0"/>
    <w:rsid w:val="000757CF"/>
    <w:rsid w:val="000A2C04"/>
    <w:rsid w:val="000C1216"/>
    <w:rsid w:val="000C7ACC"/>
    <w:rsid w:val="001142D7"/>
    <w:rsid w:val="00121397"/>
    <w:rsid w:val="00135A04"/>
    <w:rsid w:val="001472E9"/>
    <w:rsid w:val="00147380"/>
    <w:rsid w:val="00177155"/>
    <w:rsid w:val="00194063"/>
    <w:rsid w:val="001B4131"/>
    <w:rsid w:val="001C032C"/>
    <w:rsid w:val="001C2ABB"/>
    <w:rsid w:val="002327B2"/>
    <w:rsid w:val="00253EC8"/>
    <w:rsid w:val="00255703"/>
    <w:rsid w:val="0027144F"/>
    <w:rsid w:val="00292E2C"/>
    <w:rsid w:val="0029611B"/>
    <w:rsid w:val="002A23CF"/>
    <w:rsid w:val="002B04E2"/>
    <w:rsid w:val="002B706F"/>
    <w:rsid w:val="00344BEA"/>
    <w:rsid w:val="00347DEE"/>
    <w:rsid w:val="00357D8A"/>
    <w:rsid w:val="003615E9"/>
    <w:rsid w:val="00375D67"/>
    <w:rsid w:val="00385DEC"/>
    <w:rsid w:val="003B1892"/>
    <w:rsid w:val="003B6EB4"/>
    <w:rsid w:val="004145B5"/>
    <w:rsid w:val="00422F3A"/>
    <w:rsid w:val="004307E6"/>
    <w:rsid w:val="00463BE8"/>
    <w:rsid w:val="00494DB2"/>
    <w:rsid w:val="004A3FE3"/>
    <w:rsid w:val="004F2CD8"/>
    <w:rsid w:val="004F309F"/>
    <w:rsid w:val="00506501"/>
    <w:rsid w:val="00514C85"/>
    <w:rsid w:val="00530D3C"/>
    <w:rsid w:val="00533FAE"/>
    <w:rsid w:val="00544E2C"/>
    <w:rsid w:val="0057004F"/>
    <w:rsid w:val="0057096C"/>
    <w:rsid w:val="005727AA"/>
    <w:rsid w:val="005744A8"/>
    <w:rsid w:val="00576B16"/>
    <w:rsid w:val="00582FB2"/>
    <w:rsid w:val="005B2E3E"/>
    <w:rsid w:val="005D71CF"/>
    <w:rsid w:val="005E2B79"/>
    <w:rsid w:val="005F59F1"/>
    <w:rsid w:val="00684300"/>
    <w:rsid w:val="006A1FB3"/>
    <w:rsid w:val="006A2131"/>
    <w:rsid w:val="006E38B2"/>
    <w:rsid w:val="006F0DAD"/>
    <w:rsid w:val="006F16D6"/>
    <w:rsid w:val="00703203"/>
    <w:rsid w:val="00727B3A"/>
    <w:rsid w:val="00734C53"/>
    <w:rsid w:val="00736138"/>
    <w:rsid w:val="00783437"/>
    <w:rsid w:val="007A05D8"/>
    <w:rsid w:val="007A3C49"/>
    <w:rsid w:val="007B2436"/>
    <w:rsid w:val="007F42AB"/>
    <w:rsid w:val="008075AA"/>
    <w:rsid w:val="00825CE0"/>
    <w:rsid w:val="00832A1A"/>
    <w:rsid w:val="00864F9B"/>
    <w:rsid w:val="00866D0D"/>
    <w:rsid w:val="00891BC1"/>
    <w:rsid w:val="00892D6B"/>
    <w:rsid w:val="008A2D9E"/>
    <w:rsid w:val="008D6791"/>
    <w:rsid w:val="0092619F"/>
    <w:rsid w:val="0093029C"/>
    <w:rsid w:val="00945B73"/>
    <w:rsid w:val="0096535E"/>
    <w:rsid w:val="00977045"/>
    <w:rsid w:val="009929F3"/>
    <w:rsid w:val="009A0541"/>
    <w:rsid w:val="009B29C7"/>
    <w:rsid w:val="009D3FF1"/>
    <w:rsid w:val="009F7B6F"/>
    <w:rsid w:val="00A03DB7"/>
    <w:rsid w:val="00A06110"/>
    <w:rsid w:val="00A15B49"/>
    <w:rsid w:val="00A53278"/>
    <w:rsid w:val="00A64935"/>
    <w:rsid w:val="00A71ED3"/>
    <w:rsid w:val="00AA7ACE"/>
    <w:rsid w:val="00AC0B75"/>
    <w:rsid w:val="00AE522E"/>
    <w:rsid w:val="00AE6F29"/>
    <w:rsid w:val="00AF224C"/>
    <w:rsid w:val="00AF676C"/>
    <w:rsid w:val="00B4629D"/>
    <w:rsid w:val="00B66F5F"/>
    <w:rsid w:val="00BD0FCD"/>
    <w:rsid w:val="00BF7C2F"/>
    <w:rsid w:val="00C149E0"/>
    <w:rsid w:val="00C205C9"/>
    <w:rsid w:val="00C2422A"/>
    <w:rsid w:val="00C478DA"/>
    <w:rsid w:val="00C64088"/>
    <w:rsid w:val="00C71D98"/>
    <w:rsid w:val="00CA1A5B"/>
    <w:rsid w:val="00CB7DB6"/>
    <w:rsid w:val="00CC0C16"/>
    <w:rsid w:val="00CC181E"/>
    <w:rsid w:val="00CC5E96"/>
    <w:rsid w:val="00CD63E7"/>
    <w:rsid w:val="00D54D22"/>
    <w:rsid w:val="00D67BD4"/>
    <w:rsid w:val="00DB4EE5"/>
    <w:rsid w:val="00DD6A43"/>
    <w:rsid w:val="00DD784B"/>
    <w:rsid w:val="00DF68B3"/>
    <w:rsid w:val="00E0284F"/>
    <w:rsid w:val="00E205A0"/>
    <w:rsid w:val="00E36E9E"/>
    <w:rsid w:val="00E440F2"/>
    <w:rsid w:val="00E92DEA"/>
    <w:rsid w:val="00EB7A1B"/>
    <w:rsid w:val="00ED5DA2"/>
    <w:rsid w:val="00F05F80"/>
    <w:rsid w:val="00F3766B"/>
    <w:rsid w:val="00F519A1"/>
    <w:rsid w:val="00F54156"/>
    <w:rsid w:val="00FA0C6E"/>
    <w:rsid w:val="00FB5396"/>
    <w:rsid w:val="00FC4796"/>
    <w:rsid w:val="00FD0D50"/>
    <w:rsid w:val="00FE44A1"/>
    <w:rsid w:val="012612FF"/>
    <w:rsid w:val="0D3F3C2F"/>
    <w:rsid w:val="14785F83"/>
    <w:rsid w:val="155E1917"/>
    <w:rsid w:val="158D5DD7"/>
    <w:rsid w:val="1A8C594E"/>
    <w:rsid w:val="1C171E0C"/>
    <w:rsid w:val="1EA92D40"/>
    <w:rsid w:val="221B6805"/>
    <w:rsid w:val="24565C73"/>
    <w:rsid w:val="2AAC6DDA"/>
    <w:rsid w:val="2BAF763B"/>
    <w:rsid w:val="2D65669C"/>
    <w:rsid w:val="2E7D2F34"/>
    <w:rsid w:val="333D579D"/>
    <w:rsid w:val="374E08CC"/>
    <w:rsid w:val="3A0E259F"/>
    <w:rsid w:val="3AEB765B"/>
    <w:rsid w:val="3C606284"/>
    <w:rsid w:val="3D130342"/>
    <w:rsid w:val="43C32611"/>
    <w:rsid w:val="445050BB"/>
    <w:rsid w:val="447C35B9"/>
    <w:rsid w:val="4B1C58B2"/>
    <w:rsid w:val="4ED456A4"/>
    <w:rsid w:val="57DD4C56"/>
    <w:rsid w:val="5EFD51BB"/>
    <w:rsid w:val="651F58D0"/>
    <w:rsid w:val="6B2A021A"/>
    <w:rsid w:val="6DD13EA3"/>
    <w:rsid w:val="6FA6175E"/>
    <w:rsid w:val="71427DA1"/>
    <w:rsid w:val="75656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cs-CZ" w:eastAsia="cs-CZ" w:bidi="ar-SA"/>
    </w:rPr>
  </w:style>
  <w:style w:type="paragraph" w:styleId="2">
    <w:name w:val="heading 2"/>
    <w:basedOn w:val="1"/>
    <w:next w:val="1"/>
    <w:qFormat/>
    <w:uiPriority w:val="0"/>
    <w:pPr>
      <w:keepNext/>
      <w:jc w:val="center"/>
      <w:outlineLvl w:val="1"/>
    </w:pPr>
    <w:rPr>
      <w:rFonts w:ascii="Arial" w:hAnsi="Arial" w:cs="Arial"/>
      <w:b/>
      <w:bCs/>
      <w:smallCaps/>
      <w:color w:val="0000FF"/>
      <w:spacing w:val="50"/>
      <w:sz w:val="52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VOŠ, SOŠ a SOU Kopřivnice</Company>
  <Pages>3</Pages>
  <Words>313</Words>
  <Characters>1685</Characters>
  <Lines>16</Lines>
  <Paragraphs>4</Paragraphs>
  <TotalTime>0</TotalTime>
  <ScaleCrop>false</ScaleCrop>
  <LinksUpToDate>false</LinksUpToDate>
  <CharactersWithSpaces>2105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2023-09-12T19:08:00Z</dcterms:created>
  <dc:creator>Ing. Pavel Plaček</dc:creator>
  <cp:lastModifiedBy>Jaroslava Buzková</cp:lastModifiedBy>
  <cp:lastPrinted>2020-09-27T10:07:00Z</cp:lastPrinted>
  <dcterms:modified xsi:type="dcterms:W3CDTF">2026-10-16T10:47:04Z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1033-12.1.0.29162</vt:lpwstr>
  </property>
  <property fmtid="{D5CDD505-2E9C-101B-9397-08002B2CF9AE}" pid="3" name="ICV">
    <vt:lpwstr>E8DE35661D9C49AA94D68AC30642946B_13</vt:lpwstr>
  </property>
</Properties>
</file>